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03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附件3【毕业综合考核（技能考核）方案】：</w:t>
      </w:r>
    </w:p>
    <w:p w14:paraId="D3CA94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righ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山东现代学院医学院</w:t>
      </w:r>
    </w:p>
    <w:p w14:paraId="EC410E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righ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2026届毕业生毕业考核技能考核方案</w:t>
      </w:r>
    </w:p>
    <w:p w14:paraId="5D0F2A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700" w:lineRule="exact"/>
        <w:ind w:left="0" w:right="0" w:firstLine="0" w:firstLineChars="0"/>
        <w:jc w:val="center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（含医学检验技术和康复治疗学专业）</w:t>
      </w:r>
    </w:p>
    <w:p w14:paraId="0F412D5B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一、考核目的</w:t>
      </w:r>
    </w:p>
    <w:p w14:paraId="F8666669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jc w:val="left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为全面贯彻国家医学教育标准，检验我校医学检验技术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专业和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康复治疗学专业毕业生的专业理论知识、临床实践技能、综合分析能力及职业素养，确保毕业生具备合格的岗位胜任力，满足医疗卫生机构对高素质技术技能型人才的需求，结合专业培养目标，特制定本技能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考核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方案。</w:t>
      </w:r>
    </w:p>
    <w:p w14:paraId="B62C1E1B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jc w:val="left"/>
        <w:textAlignment w:val="auto"/>
        <w:outlineLvl w:val="9"/>
        <w:rPr>
          <w:rFonts w:hint="default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二、考核对象</w:t>
      </w:r>
    </w:p>
    <w:p w14:paraId="9F3CD37E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（一）医学检验技术专业</w:t>
      </w:r>
    </w:p>
    <w:p w14:paraId="32D2A35D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该专业2026届全体毕业生，以及往届延毕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学生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、因参军入伍复学应毕业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学生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。</w:t>
      </w:r>
    </w:p>
    <w:p w14:paraId="FAE8E18D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（二）康复治疗学专业</w:t>
      </w:r>
    </w:p>
    <w:p w14:paraId="80B26E8C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该专业2026届（仅2022级本科）全体毕业生。</w:t>
      </w:r>
    </w:p>
    <w:p w14:paraId="BD03C81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三、考核原则</w:t>
      </w:r>
    </w:p>
    <w:p w14:paraId="410AC348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（一）通用原则</w:t>
      </w:r>
    </w:p>
    <w:p w14:paraId="0C5047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1.科学性原则：考核内容紧扣各专业培养目标和临床岗位核心能力要求，贴合临床实际工作场景。</w:t>
      </w:r>
    </w:p>
    <w:p w14:paraId="9DB39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2.客观公正原则：制定统一的评分标准，考核过程全程记录，考官交叉评审，确保考核结果公平、公正、可追溯。</w:t>
      </w:r>
    </w:p>
    <w:p w14:paraId="F8A0EF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3.全面性原则：覆盖各专业核心技术领域，兼顾技能操作、理论应用、综合分析及职业素养，全面检验毕业生岗位适配能力。</w:t>
      </w:r>
    </w:p>
    <w:p w14:paraId="C19BB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4.安全性与人文性原则：严格遵守生物安全、操作安全规范，确保考核过程中的人员和环境安全；注重考核操作的规范性，以及与患者的沟通技巧和人文关怀。</w:t>
      </w:r>
    </w:p>
    <w:p w14:paraId="75E1D696">
      <w:pPr>
        <w:pStyle w:val="3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（二）专业专项原则</w:t>
      </w:r>
    </w:p>
    <w:p w14:paraId="E2F6FC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1.医学检验技术专业：突出检验操作的规范性、结果准确性、质量控制意识及生物安全防护能力。</w:t>
      </w:r>
    </w:p>
    <w:p w14:paraId="593C1C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2.康复治疗学专业：坚持能力导向，重点考核学生的康复评估、治疗计划制定、干预实施和再评估的全过程，凸显临床推理能力。</w:t>
      </w:r>
    </w:p>
    <w:p w14:paraId="96538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四、具体考核方案</w:t>
      </w:r>
    </w:p>
    <w:p w14:paraId="EF025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康复治疗学采用多站式客观结构化临床考核（OSCE）形式，学生依次通过所有考站，结合自身特点设置考站、考核项目及评分标准；医学检验技术开展两项技能操作具体如下：</w:t>
      </w:r>
    </w:p>
    <w:p w14:paraId="A94A0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（一）考核项目抽取方式</w:t>
      </w:r>
    </w:p>
    <w:p w14:paraId="135776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康复治疗学：学生前往诚信楼候考室后，听从考核工作人员的安排进行试题的抽取，试题当场打印，由学生抽取。</w:t>
      </w:r>
    </w:p>
    <w:p w14:paraId="266724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医学检验技术：通过抽签系统二抽一，提前抽取考核项目，不由学生自行抽取。</w:t>
      </w:r>
    </w:p>
    <w:p w14:paraId="A1D211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医学检验技术</w:t>
      </w:r>
    </w:p>
    <w:p w14:paraId="4DD9E9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1.项目一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：静脉采血技能</w:t>
      </w:r>
    </w:p>
    <w:p w14:paraId="14346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考核项目：静脉采血（肘正中静脉优先，备选手背静脉）</w:t>
      </w:r>
    </w:p>
    <w:p w14:paraId="608DE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考核内容：</w:t>
      </w:r>
    </w:p>
    <w:p w14:paraId="1D822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采血前准备：核对患者信息（模拟）、检查采血用品（注射器/真空采血管、止血带、消毒用品等）完整性与有效期，向患者（模拟）告知采血目的及注意事项。</w:t>
      </w:r>
    </w:p>
    <w:p w14:paraId="12C963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采血操作：患者体位摆放规范，止血带绑扎位置、松紧度适宜，皮肤消毒范围（直径≥5cm）及顺序规范，穿刺角度、深度准确，采血过程流畅，避免溶血、凝血，采血剂量符合要求。</w:t>
      </w:r>
    </w:p>
    <w:p w14:paraId="62149B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采血后处理：规范拔针、按压止血（按压时间、力度适宜），采血用品分类处理（医疗废物分类），填写采血标签，做好记录，安抚患者（模拟）。</w:t>
      </w:r>
    </w:p>
    <w:p w14:paraId="08468F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评价要点：操作规范性、流程完整性、无菌观念、生物安全意识，采血成功率（模拟），沟通能力及人文关怀。</w:t>
      </w:r>
    </w:p>
    <w:p w14:paraId="3AC439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2.项目二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：HIV检测（试纸检测）技能</w:t>
      </w:r>
    </w:p>
    <w:p w14:paraId="6A3D65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考核项目：HIV抗体快速检测（试纸法）</w:t>
      </w:r>
    </w:p>
    <w:p w14:paraId="461AB8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考核内容：</w:t>
      </w:r>
    </w:p>
    <w:p w14:paraId="6EF764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检测前准备：核对检测试纸、样本（模拟血清/全血）信息，检查试纸有效期、包装完整性，准备检测所需器材（毛细管、一次性手套、末梢采血针、消毒用品等），做好个人防护。</w:t>
      </w:r>
    </w:p>
    <w:p w14:paraId="1A005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检测操作：严格按照试纸说明书规范加样，控制加样量、反应时间，操作过程中避免样本污染、试纸受潮，保持检测环境适宜。</w:t>
      </w:r>
    </w:p>
    <w:p w14:paraId="2A51A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结果判读与处理：在规定时间内准确判读检测结果（阴性、阳性、无效），规范填写检测记录，检测后试纸及相关耗材按医疗废物分类处理，做好生物安全防护。</w:t>
      </w:r>
    </w:p>
    <w:p w14:paraId="1DFADC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评价要点：操作规范性、流程完整性，结果判读准确性，说明书遵循度，生物安全意识，隐私保护意识。</w:t>
      </w:r>
    </w:p>
    <w:p w14:paraId="1A083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（三）康复治疗学专业</w:t>
      </w:r>
    </w:p>
    <w:p w14:paraId="BD5D37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1.考站设置</w:t>
      </w:r>
    </w:p>
    <w:p w14:paraId="E5464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共设4个考站，分别为问诊、评定、治疗、问答，总分100分，总成绩为各站点成绩的加权总和，各站成绩达到该站分值的60%及以上，且总成绩≥60分为考核合格。</w:t>
      </w:r>
    </w:p>
    <w:p w14:paraId="099CB9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2.考核疾病或障碍类型（包括但不限于）</w:t>
      </w:r>
    </w:p>
    <w:p w14:paraId="539830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Gerstman综合征、阿尔茨海默病、感觉障碍、高尔夫球肘、构音障碍、骨盆骨折、上下肢骨折、骨质疏松、关节脱位、关节炎、关节置换、冠心病、肌腱韧带损伤、脊髓损伤、脊柱骨折、记忆障碍、肩袖损伤术后、肩周炎、截肢、颈椎病、类风湿关节炎、颅脑损伤、面瘫、脑卒中、脑出血、脑瘫、脑外伤、帕金森、烧伤、失认证、失语症、手外伤、疼痛、腕管综合征、腰椎间盘突出、周围神经损伤、足底筋膜炎等（学生随机抽取1种疾病/障碍，贯穿四站考核）。</w:t>
      </w:r>
    </w:p>
    <w:p w14:paraId="D877E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3.各考站考核范围、器物准备及评价要点</w:t>
      </w:r>
    </w:p>
    <w:tbl>
      <w:tblPr>
        <w:tblStyle w:val="4"/>
        <w:tblW w:w="91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48"/>
        <w:gridCol w:w="3727"/>
        <w:gridCol w:w="2171"/>
        <w:gridCol w:w="1972"/>
      </w:tblGrid>
      <w:tr w14:paraId="67E49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9" w:hRule="atLeast"/>
          <w:tblHeader/>
        </w:trPr>
        <w:tc>
          <w:tcPr>
            <w:tcW w:w="124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9B07B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站点名称</w:t>
            </w:r>
          </w:p>
        </w:tc>
        <w:tc>
          <w:tcPr>
            <w:tcW w:w="37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ABCB4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考核范围（包括但不限于）</w:t>
            </w:r>
          </w:p>
        </w:tc>
        <w:tc>
          <w:tcPr>
            <w:tcW w:w="2171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BF1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站点器物</w:t>
            </w:r>
          </w:p>
          <w:p w14:paraId="1BC4A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（包括但不限于）</w:t>
            </w:r>
          </w:p>
        </w:tc>
        <w:tc>
          <w:tcPr>
            <w:tcW w:w="197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EC8DC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评价要点</w:t>
            </w:r>
          </w:p>
        </w:tc>
      </w:tr>
      <w:tr w14:paraId="2F764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" w:hRule="atLeast"/>
        </w:trPr>
        <w:tc>
          <w:tcPr>
            <w:tcW w:w="124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A3F9E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第一考站：问诊</w:t>
            </w:r>
          </w:p>
        </w:tc>
        <w:tc>
          <w:tcPr>
            <w:tcW w:w="37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EB4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围绕抽取的疾病/障碍，进行系统问诊：主诉、现病史（发病诱因、病程、症状特点）、既往史、个人史、家族史，重点询问功能障碍相关症状、日常活动影响及康复需求，同时评估患者心理状态。</w:t>
            </w:r>
          </w:p>
        </w:tc>
        <w:tc>
          <w:tcPr>
            <w:tcW w:w="2171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27E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空白病历、笔、问诊记录表、模拟患者（SP）</w:t>
            </w:r>
          </w:p>
        </w:tc>
        <w:tc>
          <w:tcPr>
            <w:tcW w:w="197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E6835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问诊逻辑性、完整性，重点突出，沟通技巧，人文关怀，心理评估意识，病历记录规范性。</w:t>
            </w:r>
          </w:p>
        </w:tc>
      </w:tr>
      <w:tr w14:paraId="9B29B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" w:hRule="atLeast"/>
        </w:trPr>
        <w:tc>
          <w:tcPr>
            <w:tcW w:w="124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8CA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第二考站：评定</w:t>
            </w:r>
          </w:p>
        </w:tc>
        <w:tc>
          <w:tcPr>
            <w:tcW w:w="37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1FE0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结合问诊结果，针对抽取的疾病/障碍，选择适宜的评定方法：包括但不限于关节活动度、徒手肌力、肌张力、平衡功能、步态分析、感觉功能、疼痛、言语吞咽、认知功能等，完成评定并记录结果。</w:t>
            </w:r>
          </w:p>
        </w:tc>
        <w:tc>
          <w:tcPr>
            <w:tcW w:w="2171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68D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关节活动度角度尺、皮尺、叩诊锤、棉签、MMSE量表、疼痛评定量表、空白评定表、笔</w:t>
            </w:r>
          </w:p>
        </w:tc>
        <w:tc>
          <w:tcPr>
            <w:tcW w:w="197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CFFD5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评定方法选择合理性，操作规范性，结果准确性，记录完整性，临床推理能力。</w:t>
            </w:r>
          </w:p>
        </w:tc>
      </w:tr>
      <w:tr w14:paraId="2FDC3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" w:hRule="atLeast"/>
        </w:trPr>
        <w:tc>
          <w:tcPr>
            <w:tcW w:w="124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F8983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第三考站：治疗</w:t>
            </w:r>
          </w:p>
        </w:tc>
        <w:tc>
          <w:tcPr>
            <w:tcW w:w="37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2C4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根据问诊及评定结果，制定针对性治疗方案并实施：包括但不限于运动疗法、物理因子疗法、作业治疗等核心技术，重点考核治疗操作的规范性、安全性及与评定结果的适配性。</w:t>
            </w:r>
          </w:p>
        </w:tc>
        <w:tc>
          <w:tcPr>
            <w:tcW w:w="2171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CD708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哑铃、肌力训练带、平衡杠、Bobath球、超声波仪（耦合剂）、低频电贴片、蜡疗仪、磨砂板、轮椅、手杖</w:t>
            </w:r>
          </w:p>
        </w:tc>
        <w:tc>
          <w:tcPr>
            <w:tcW w:w="197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C14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治疗方案针对性，操作规范性、安全性，技术熟练度，治疗参数设置准确性，人文关怀。</w:t>
            </w:r>
          </w:p>
        </w:tc>
      </w:tr>
      <w:tr w14:paraId="77150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" w:hRule="atLeast"/>
        </w:trPr>
        <w:tc>
          <w:tcPr>
            <w:tcW w:w="124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DA890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第四考站：问答</w:t>
            </w:r>
          </w:p>
        </w:tc>
        <w:tc>
          <w:tcPr>
            <w:tcW w:w="37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CF2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围绕抽取的疾病/障碍及前三站考核内容，回答相关问题：包括疾病康复机制、评定方法原理、治疗方案依据、并发症预防、康复预后判断、康复伦理与安全等。</w:t>
            </w:r>
          </w:p>
        </w:tc>
        <w:tc>
          <w:tcPr>
            <w:tcW w:w="2171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A9163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试题卷、笔、空白答题纸</w:t>
            </w:r>
          </w:p>
        </w:tc>
        <w:tc>
          <w:tcPr>
            <w:tcW w:w="197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A130A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专业理论掌握程度，临床思维能力，问题应答准确性、逻辑性，知识综合应用能力，职业素养。</w:t>
            </w:r>
          </w:p>
        </w:tc>
      </w:tr>
    </w:tbl>
    <w:p w14:paraId="6331D6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4.考核流程</w:t>
      </w:r>
    </w:p>
    <w:p w14:paraId="FA47B9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学生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抵达诚信楼，听从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考核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工作人员安排，在待考室待考，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随后抽取试题，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该疾病/障碍贯穿四站考核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，学生有10分钟时间准备，即将开始考核前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按指引到指定考站门口；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学院坚持以学生为本，为方便学生考核，将四站合为一个考室即可完成，每位学生考核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0分钟，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学生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提前完成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考核内容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后，可听从考官安排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提前离站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963BD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、评分标准</w:t>
      </w:r>
    </w:p>
    <w:p w14:paraId="194F86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每个操作项目均制定详细的评分表，采用分项评分法（如：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准备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5分、操作过程-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10分、结果-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5分、整理-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5分</w:t>
      </w:r>
      <w:r>
        <w:rPr>
          <w:rFonts w:hint="eastAsia" w:ascii="仿宋_GB2312" w:hAnsi="仿宋_GB2312" w:eastAsia="仿宋_GB2312" w:cs="仿宋_GB2312"/>
          <w:sz w:val="32"/>
          <w:szCs w:val="32"/>
        </w:rPr>
        <w:t>）。考官根据评分表现场独立打分。</w:t>
      </w:r>
    </w:p>
    <w:p w14:paraId="0347D7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考官根据学生现场操作表现、应答情况独立打分，打分过程全程记录，考核结束后签字确认，确保评分公正。</w:t>
      </w:r>
    </w:p>
    <w:p w14:paraId="828C0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  <w:szCs w:val="32"/>
        </w:rPr>
        <w:t>、成绩评定与反馈</w:t>
      </w:r>
    </w:p>
    <w:p w14:paraId="A605DC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考核结束后，工作小组及时汇总成绩，报领导小组审核。</w:t>
      </w:r>
    </w:p>
    <w:p w14:paraId="779B1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考核合格者，方可获得毕业资格。</w:t>
      </w:r>
    </w:p>
    <w:p w14:paraId="BDDB9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对于考核不合格者，给予一次补考机会。补考仍不合格者，按学校学籍管理规定处理。</w:t>
      </w:r>
    </w:p>
    <w:p w14:paraId="E4CFB6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FE44E7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8CCA2B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912DA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                        山东现代学院医学院</w:t>
      </w:r>
    </w:p>
    <w:p w14:paraId="C907D0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2026年4月20日</w:t>
      </w:r>
    </w:p>
    <w:p w14:paraId="7B6B96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701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E3472">
    <w:pPr>
      <w:pStyle w:val="2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8725A430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 xml:space="preserve"> 页 共 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>34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Ii+OifSAQAAnwMAAA4AAABkcnMvZTJvRG9jLnhtbK1TzY7TMBC+I/EO&#10;lu80SYWgRE1XSNUiJAQrLTyA6ziNJf9pxm1SHgDegBMX7jxXn4Oxk3bRctkDF2fGY3/zfZ8n65vR&#10;GnZUgNq7hleLkjPlpG+12zf8y+fbFyvOMArXCuOdavhJIb/ZPH+2HkKtlr73plXACMRhPYSG9zGG&#10;uihQ9soKXPigHBU7D1ZESmFftCAGQremWJblq2Lw0AbwUiHS7nYq8hkRngLou05LtfXyYJWLEyoo&#10;IyJJwl4H5JvMtuuUjJ+6DlVkpuGkNOaVmlC8S2uxWYt6DyL0Ws4UxFMoPNJkhXbU9Aq1FVGwA+h/&#10;oKyW4NF3cSG9LSYh2RFSUZWPvLnvRVBZC1mN4Wo6/j9Y+fF4B0y3DX9ZvnnNmROW3vz84/v55+/z&#10;r2+sqpJFQ8CaTt6HO5gzpDDpHTuw6UtK2JhtPV1tVWNkkjar1XK1KslxSbVLQjjFw/UAGN8pb1kK&#10;Gg70btlOcfyAcTp6OZK6GZdW52+1MVM17RSJ5kQsRXHcjTPbnW9PJJOmnsB7D185G+jNG+5oxDkz&#10;7x1ZmsbjEsAl2F0C4SRdbHjk7BBA7/s8SokGhreHSFQyz9R46jbzoXfLSucZS4Pxd55PPfxXm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5dblS0AAAAAUBAAAPAAAAAAAAAAEAIAAAACIAAABkcnMv&#10;ZG93bnJldi54bWxQSwECFAAUAAAACACHTuJAiL46J9IBAACfAwAADgAAAAAAAAABACAAAAAf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8725A430">
                    <w:pPr>
                      <w:pStyle w:val="2"/>
                      <w:rPr>
                        <w:rFonts w:hint="default" w:ascii="Times New Roman" w:hAnsi="Times New Roman" w:cs="Times New Roman"/>
                      </w:rPr>
                    </w:pPr>
                    <w:r>
                      <w:rPr>
                        <w:rFonts w:hint="default" w:ascii="Times New Roman" w:hAnsi="Times New Roman" w:cs="Times New Roma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</w:rPr>
                      <w:t xml:space="preserve"> 页 共 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</w:rPr>
                      <w:instrText xml:space="preserve"> NUMPAGES  \* MERGEFORMAT </w:instrTex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</w:rPr>
                      <w:t>34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4865B4"/>
    <w:rsid w:val="1C48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2026-04-22T04:27:00Z</dcterms:created>
  <dc:creator>lenovo</dc:creator>
  <cp:lastModifiedBy>Eternity</cp:lastModifiedBy>
  <dcterms:modified xsi:type="dcterms:W3CDTF">2026-04-22T04:33:49Z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E5CE12B9270C4D669D22306A4A5490B4_11</vt:lpwstr>
  </property>
  <property fmtid="{D5CDD505-2E9C-101B-9397-08002B2CF9AE}" pid="4" name="KSOTemplateDocerSaveRecord">
    <vt:lpwstr>eyJoZGlkIjoiODg0ZTFhZDRmYjg2ZGUxYTZlOTAzYmJiMDlhM2IyODgiLCJ1c2VySWQiOiIxNjMwNjcyNTMxIn0=</vt:lpwstr>
  </property>
</Properties>
</file>